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0F31" w14:textId="77777777" w:rsidR="004F7E47" w:rsidRPr="004F7E47" w:rsidRDefault="004F7E47" w:rsidP="004F7E47">
      <w:pPr>
        <w:spacing w:after="0" w:line="235" w:lineRule="auto"/>
        <w:jc w:val="center"/>
        <w:outlineLvl w:val="1"/>
        <w:rPr>
          <w:rFonts w:ascii="Times New Roman" w:eastAsia="Roboto" w:hAnsi="Times New Roman" w:cs="Times New Roman"/>
          <w:b/>
          <w:color w:val="000000" w:themeColor="text1"/>
          <w:spacing w:val="-2"/>
          <w:kern w:val="0"/>
          <w:sz w:val="28"/>
          <w:szCs w:val="28"/>
          <w:lang w:val="uk-UA" w:eastAsia="uk-UA"/>
          <w14:ligatures w14:val="none"/>
        </w:rPr>
      </w:pPr>
      <w:r w:rsidRPr="004F7E47">
        <w:rPr>
          <w:rFonts w:ascii="Times New Roman" w:eastAsia="Calibri" w:hAnsi="Times New Roman" w:cs="Times New Roman"/>
          <w:b/>
          <w:bCs/>
          <w:iCs/>
          <w:spacing w:val="-2"/>
          <w:kern w:val="0"/>
          <w:sz w:val="28"/>
          <w:szCs w:val="28"/>
          <w:lang w:val="uk-UA" w:eastAsia="uk-UA"/>
          <w14:ligatures w14:val="none"/>
        </w:rPr>
        <w:t>Проблеми та перспективи розвитку промисловості України під час війни</w:t>
      </w:r>
    </w:p>
    <w:p w14:paraId="3914A803" w14:textId="77777777" w:rsidR="004F7E47" w:rsidRPr="004F7E47" w:rsidRDefault="004F7E47" w:rsidP="004F7E47">
      <w:pPr>
        <w:keepNext/>
        <w:keepLines/>
        <w:spacing w:before="120" w:after="0" w:line="235" w:lineRule="auto"/>
        <w:jc w:val="center"/>
        <w:outlineLvl w:val="2"/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uk-UA"/>
          <w14:ligatures w14:val="none"/>
        </w:rPr>
      </w:pPr>
      <w:proofErr w:type="spellStart"/>
      <w:r w:rsidRPr="004F7E47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Іляш</w:t>
      </w:r>
      <w:proofErr w:type="spellEnd"/>
      <w:r w:rsidRPr="004F7E47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Ольга Ігорівна, </w:t>
      </w:r>
      <w:proofErr w:type="spellStart"/>
      <w:r w:rsidRPr="004F7E47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д.е.н</w:t>
      </w:r>
      <w:proofErr w:type="spellEnd"/>
      <w:r w:rsidRPr="004F7E47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, професор</w:t>
      </w:r>
    </w:p>
    <w:p w14:paraId="687E536E" w14:textId="77777777" w:rsidR="004F7E47" w:rsidRPr="004F7E47" w:rsidRDefault="004F7E47" w:rsidP="004F7E47">
      <w:pPr>
        <w:spacing w:after="0" w:line="235" w:lineRule="auto"/>
        <w:jc w:val="center"/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4"/>
          <w:lang w:val="uk-UA"/>
          <w14:ligatures w14:val="none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4"/>
          <w:lang w:val="uk-UA"/>
          <w14:ligatures w14:val="none"/>
        </w:rPr>
        <w:t>ORCID ID: 0000-0002-7882-3942</w:t>
      </w:r>
    </w:p>
    <w:p w14:paraId="515382B8" w14:textId="77777777" w:rsidR="004F7E47" w:rsidRPr="004F7E47" w:rsidRDefault="004F7E47" w:rsidP="004F7E47">
      <w:pPr>
        <w:keepNext/>
        <w:keepLines/>
        <w:spacing w:before="120" w:after="0" w:line="235" w:lineRule="auto"/>
        <w:jc w:val="center"/>
        <w:outlineLvl w:val="2"/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uk-UA"/>
          <w14:ligatures w14:val="none"/>
        </w:rPr>
      </w:pPr>
      <w:proofErr w:type="spellStart"/>
      <w:r w:rsidRPr="004F7E47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Саченко</w:t>
      </w:r>
      <w:proofErr w:type="spellEnd"/>
      <w:r w:rsidRPr="004F7E47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 xml:space="preserve"> Андрій Олегович, аспірант </w:t>
      </w:r>
    </w:p>
    <w:p w14:paraId="0BCAABEE" w14:textId="77777777" w:rsidR="004F7E47" w:rsidRPr="004F7E47" w:rsidRDefault="004F7E47" w:rsidP="004F7E47">
      <w:pPr>
        <w:spacing w:after="0" w:line="235" w:lineRule="auto"/>
        <w:jc w:val="center"/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4"/>
          <w:lang w:val="uk-UA"/>
          <w14:ligatures w14:val="none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4"/>
          <w:lang w:val="uk-UA"/>
          <w14:ligatures w14:val="none"/>
        </w:rPr>
        <w:t>ORCID ID: 0009-0009-1861-8064</w:t>
      </w:r>
    </w:p>
    <w:p w14:paraId="79329031" w14:textId="77777777" w:rsidR="004F7E47" w:rsidRPr="004F7E47" w:rsidRDefault="004F7E47" w:rsidP="004F7E47">
      <w:pPr>
        <w:spacing w:after="0" w:line="235" w:lineRule="auto"/>
        <w:jc w:val="center"/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4"/>
          <w:lang w:val="uk-UA"/>
          <w14:ligatures w14:val="none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4"/>
          <w:lang w:val="uk-UA"/>
          <w14:ligatures w14:val="none"/>
        </w:rPr>
        <w:t>КПІ. ім. Ігоря Сікорського</w:t>
      </w:r>
    </w:p>
    <w:p w14:paraId="23D293A0" w14:textId="77777777" w:rsidR="004F7E47" w:rsidRPr="004F7E47" w:rsidRDefault="004F7E47" w:rsidP="004F7E47">
      <w:pPr>
        <w:spacing w:after="0"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</w:pPr>
    </w:p>
    <w:p w14:paraId="60762349" w14:textId="77777777" w:rsidR="004F7E47" w:rsidRPr="004F7E47" w:rsidRDefault="004F7E47" w:rsidP="004F7E47">
      <w:pPr>
        <w:spacing w:after="0"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 xml:space="preserve">Через розгортання повномасштабної війни промислове виробництво в Україні скоротилося на 36,7 %, більше третини підприємств припинили роботу. Сума прямих збитків підприємств склала 13 млрд </w:t>
      </w:r>
      <w:proofErr w:type="spellStart"/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>дол</w:t>
      </w:r>
      <w:proofErr w:type="spellEnd"/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 xml:space="preserve">., загальні непрямі збитки перевищили 33 млрд </w:t>
      </w:r>
      <w:proofErr w:type="spellStart"/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>дол</w:t>
      </w:r>
      <w:proofErr w:type="spellEnd"/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 xml:space="preserve">. Серед найбільш постраждалих галузей – машинобудування, металургія, виробництво хімічних речовин і хімічної продукції, виробництво коксу та продуктів, видобувна промисловість, харчова промисловість, сільськогосподарське виробництво. Для відновлення підприємств потрібно майже 25 млрд </w:t>
      </w:r>
      <w:proofErr w:type="spellStart"/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>дол</w:t>
      </w:r>
      <w:proofErr w:type="spellEnd"/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 xml:space="preserve">. Вартість реконструкції до кінця війни може зрости до 500 млрд </w:t>
      </w:r>
      <w:proofErr w:type="spellStart"/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>дол</w:t>
      </w:r>
      <w:proofErr w:type="spellEnd"/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 xml:space="preserve">. Це створює загрозу деіндустріалізації країни. </w:t>
      </w:r>
    </w:p>
    <w:p w14:paraId="2F349045" w14:textId="77777777" w:rsidR="004F7E47" w:rsidRPr="004F7E47" w:rsidRDefault="004F7E47" w:rsidP="004F7E47">
      <w:pPr>
        <w:spacing w:after="0"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 xml:space="preserve">Основними викликами для промисловості стали падіння попиту та неплатоспроможність клієнтів, руйнування ланцюгів постачання і дефіцит фінансування. Серед інших проблем – зростання вартості сировини, матеріалів та енергоресурсів, обмежений доступ до ринків збуту продукції, значний дефіцит оборотних коштів, недоступність кредитних коштів, відсутність достатньої кількості кваліфікованих працівників. </w:t>
      </w:r>
    </w:p>
    <w:p w14:paraId="0E8F7E5C" w14:textId="77777777" w:rsidR="004F7E47" w:rsidRPr="004F7E47" w:rsidRDefault="004F7E47" w:rsidP="004F7E47">
      <w:pPr>
        <w:spacing w:after="0"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>Разом з тим, можна стверджувати, що українська промисловість адаптувалася до умов воєнного часу та готова до нових викликів. У 2022 році уряду вдалось зберегли керованість економічними та фінансовими процесами. Дві третини усіх бюджетних коштів – це внутрішній ресурс держави. Завдяки допомозі партнерів, низка європейських країн скасували для українських експортерів промислової продукції ввізні мита. Вдалося відновити доступ підприємств до системи електроенергії, сформувати портфель замовлень державними підприємствами оборонно-промислового комплексу, збільшити можливості виготовлення виробів з більшою глибиною обробки, розширити ринки збуту промислової продукції до США, Ізраїлю, Молдови, Грузії, збільшити обсяги використання вітчизняної сировини та високотехнологічного обладнання у виробництві, забезпечити доступ до резервування робочих місць тощо (рис. 1).</w:t>
      </w:r>
    </w:p>
    <w:p w14:paraId="31EF5A5A" w14:textId="77777777" w:rsidR="004F7E47" w:rsidRPr="004F7E47" w:rsidRDefault="004F7E47" w:rsidP="004F7E47">
      <w:pPr>
        <w:spacing w:before="120" w:after="0" w:line="235" w:lineRule="auto"/>
        <w:jc w:val="center"/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</w:pPr>
      <w:r w:rsidRPr="004F7E47">
        <w:rPr>
          <w:rFonts w:ascii="Times New Roman" w:hAnsi="Times New Roman" w:cs="Times New Roman"/>
          <w:noProof/>
          <w:spacing w:val="-2"/>
          <w:kern w:val="0"/>
          <w:lang w:val="ru-RU" w:eastAsia="ru-RU"/>
          <w14:ligatures w14:val="none"/>
        </w:rPr>
        <w:drawing>
          <wp:inline distT="0" distB="0" distL="0" distR="0" wp14:anchorId="39B65F6F" wp14:editId="2477EB76">
            <wp:extent cx="4571645" cy="2205317"/>
            <wp:effectExtent l="0" t="0" r="63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112" cy="222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9FABF" w14:textId="77777777" w:rsidR="004F7E47" w:rsidRPr="004F7E47" w:rsidRDefault="004F7E47" w:rsidP="004F7E47">
      <w:pPr>
        <w:spacing w:before="120" w:after="0" w:line="235" w:lineRule="auto"/>
        <w:jc w:val="center"/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 xml:space="preserve">Рисунок 1 – Частка промислових підприємств, які працюють майже на повну потужність </w:t>
      </w:r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br/>
        <w:t>(завантажені на 75 % і більше порівняно з довоєнним періодом) [1]</w:t>
      </w:r>
    </w:p>
    <w:p w14:paraId="6AC5593C" w14:textId="77777777" w:rsidR="004F7E47" w:rsidRPr="004F7E47" w:rsidRDefault="004F7E47" w:rsidP="004F7E47">
      <w:pPr>
        <w:spacing w:after="0"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</w:pPr>
    </w:p>
    <w:p w14:paraId="2FFD498F" w14:textId="77777777" w:rsidR="004F7E47" w:rsidRPr="004F7E47" w:rsidRDefault="004F7E47" w:rsidP="004F7E47">
      <w:pPr>
        <w:spacing w:after="0"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 xml:space="preserve">Незважаючи на зростання цін на логістику та глобальне зростання цін на сировину та комплектуючі для переробки промисловості зберігає здатність покрити внутрішній попит, збільшилися можливості використання якісної та високотехнологічної сировини; банками продовжено терміни погашення кредиту та з’явилися значні можливості для формування </w:t>
      </w:r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lastRenderedPageBreak/>
        <w:t>портфоліо замовлень довоєнного періоду. Попри все війна дала поштовх до розвитку нових напрямків виробництва та бізнес-</w:t>
      </w:r>
      <w:proofErr w:type="spellStart"/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>проєктів</w:t>
      </w:r>
      <w:proofErr w:type="spellEnd"/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>.</w:t>
      </w:r>
    </w:p>
    <w:p w14:paraId="22FBC90B" w14:textId="77777777" w:rsidR="004F7E47" w:rsidRPr="004F7E47" w:rsidRDefault="004F7E47" w:rsidP="004F7E47">
      <w:pPr>
        <w:spacing w:after="0"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 xml:space="preserve">На наш погляд, щоб відродити та підтримати виробничий сектор в Україні в умовах війни необхідно вирішити такі найактуальніші виклики: </w:t>
      </w:r>
    </w:p>
    <w:p w14:paraId="305C7986" w14:textId="77777777" w:rsidR="004F7E47" w:rsidRPr="004F7E47" w:rsidRDefault="004F7E47" w:rsidP="004F7E47">
      <w:pPr>
        <w:numPr>
          <w:ilvl w:val="0"/>
          <w:numId w:val="1"/>
        </w:num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8"/>
          <w:lang w:val="uk-UA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sz w:val="24"/>
          <w:szCs w:val="28"/>
          <w:lang w:val="uk-UA"/>
        </w:rPr>
        <w:t>щодо робочої сили: збільшення кількості субсидованих робочих місць у переробній промисловості; залучення та подолання дефіциту висококваліфікованої робочої сили через мобілізацію; відповідність системи державної підготовки кадрів потребам попиту; підвищення ефективності дуальної освіти та взаємодії між навчальними закладами та підприємствами;</w:t>
      </w:r>
    </w:p>
    <w:p w14:paraId="66AECAF1" w14:textId="77777777" w:rsidR="004F7E47" w:rsidRPr="004F7E47" w:rsidRDefault="004F7E47" w:rsidP="004F7E47">
      <w:pPr>
        <w:numPr>
          <w:ilvl w:val="0"/>
          <w:numId w:val="1"/>
        </w:num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8"/>
          <w:lang w:val="uk-UA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sz w:val="24"/>
          <w:szCs w:val="28"/>
          <w:lang w:val="uk-UA"/>
        </w:rPr>
        <w:t>щодо доступу до фінансування: зниження облікової ставки; запровадження програм страхування операцій з постачання продукції в Україну; державна фінансова підтримка придбання високотехнологічного обладнання та стимулювання випуску технологічної продукції; підтримка переміщених підприємств, продукція яких має високий внутрішній попит; списання та реструктуризація боргів банками; грантова підтримка сертифікації продукції на експорт;</w:t>
      </w:r>
    </w:p>
    <w:p w14:paraId="5AAC6168" w14:textId="77777777" w:rsidR="004F7E47" w:rsidRPr="004F7E47" w:rsidRDefault="004F7E47" w:rsidP="004F7E47">
      <w:pPr>
        <w:numPr>
          <w:ilvl w:val="0"/>
          <w:numId w:val="1"/>
        </w:numPr>
        <w:spacing w:after="0" w:line="235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8"/>
          <w:lang w:val="uk-UA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sz w:val="24"/>
          <w:szCs w:val="28"/>
          <w:lang w:val="uk-UA"/>
        </w:rPr>
        <w:t xml:space="preserve">щодо глобальних ланцюгів поставок і міжнародної торгівлі промисловою продукцією: забезпечення прозорих тендерних </w:t>
      </w:r>
      <w:proofErr w:type="spellStart"/>
      <w:r w:rsidRPr="004F7E47">
        <w:rPr>
          <w:rFonts w:ascii="Times New Roman" w:hAnsi="Times New Roman" w:cs="Times New Roman"/>
          <w:color w:val="000000" w:themeColor="text1"/>
          <w:spacing w:val="-2"/>
          <w:sz w:val="24"/>
          <w:szCs w:val="28"/>
          <w:lang w:val="uk-UA"/>
        </w:rPr>
        <w:t>закупівель</w:t>
      </w:r>
      <w:proofErr w:type="spellEnd"/>
      <w:r w:rsidRPr="004F7E47">
        <w:rPr>
          <w:rFonts w:ascii="Times New Roman" w:hAnsi="Times New Roman" w:cs="Times New Roman"/>
          <w:color w:val="000000" w:themeColor="text1"/>
          <w:spacing w:val="-2"/>
          <w:sz w:val="24"/>
          <w:szCs w:val="28"/>
          <w:lang w:val="uk-UA"/>
        </w:rPr>
        <w:t xml:space="preserve"> для виробників;  зниження митного навантаження на імпорт високотехнологічної продукції; переорієнтації промислових підприємств на європейські ринки; регулювання митних квот та податків, які підвищують конкурентоспроможність продукції на зовнішніх ринках; збільшення імпорту сировини та матеріалів для виробничих потреб; зниження нетарифних та тарифних обмежень на експортних ринках готової продукції.</w:t>
      </w:r>
    </w:p>
    <w:p w14:paraId="2221B52A" w14:textId="77777777" w:rsidR="004F7E47" w:rsidRPr="004F7E47" w:rsidRDefault="004F7E47" w:rsidP="004F7E47">
      <w:pPr>
        <w:spacing w:after="0"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kern w:val="0"/>
          <w:sz w:val="24"/>
          <w:szCs w:val="28"/>
          <w:lang w:val="uk-UA"/>
          <w14:ligatures w14:val="none"/>
        </w:rPr>
        <w:t xml:space="preserve">Незважаючи на те, що багато промислових підприємств понесли великі збитки через жорстокі руйнування та окупацію частини територій України, в цілому поточні ділові настрої не змінилися і промисловість намагається вижити та продовжити роботу. Водночас українські промисловці очікують припливу інвестицій і певної підтримки від держави. За оцінками фахівців, для стійкого відновлення Україні необхідно забезпечувати економічне зростання на рівні близько 7,0 % щороку та додатково залучати до 4,5 млн працездатного населення. </w:t>
      </w:r>
    </w:p>
    <w:p w14:paraId="022FD2B2" w14:textId="77777777" w:rsidR="004F7E47" w:rsidRPr="004F7E47" w:rsidRDefault="004F7E47" w:rsidP="004F7E47">
      <w:pPr>
        <w:tabs>
          <w:tab w:val="left" w:pos="851"/>
        </w:tabs>
        <w:spacing w:before="120" w:after="0" w:line="235" w:lineRule="auto"/>
        <w:ind w:firstLine="567"/>
        <w:jc w:val="both"/>
        <w:rPr>
          <w:rFonts w:ascii="Times New Roman" w:hAnsi="Times New Roman" w:cs="Times New Roman"/>
          <w:b/>
          <w:bCs/>
          <w:spacing w:val="-2"/>
          <w:kern w:val="0"/>
          <w:lang w:val="uk-UA"/>
          <w14:ligatures w14:val="none"/>
        </w:rPr>
      </w:pPr>
      <w:r w:rsidRPr="004F7E47">
        <w:rPr>
          <w:rFonts w:ascii="Times New Roman" w:hAnsi="Times New Roman" w:cs="Times New Roman"/>
          <w:b/>
          <w:bCs/>
          <w:spacing w:val="-2"/>
          <w:kern w:val="0"/>
          <w:lang w:val="uk-UA"/>
          <w14:ligatures w14:val="none"/>
        </w:rPr>
        <w:t xml:space="preserve">Література: </w:t>
      </w:r>
    </w:p>
    <w:p w14:paraId="7FB2A03F" w14:textId="77777777" w:rsidR="004F7E47" w:rsidRPr="004F7E47" w:rsidRDefault="004F7E47" w:rsidP="004F7E47">
      <w:pPr>
        <w:numPr>
          <w:ilvl w:val="0"/>
          <w:numId w:val="2"/>
        </w:numPr>
        <w:tabs>
          <w:tab w:val="left" w:pos="284"/>
        </w:tabs>
        <w:spacing w:after="0" w:line="235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pacing w:val="-2"/>
          <w:shd w:val="clear" w:color="auto" w:fill="FFFFFF"/>
          <w:lang w:val="uk-UA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lang w:val="uk-UA"/>
        </w:rPr>
        <w:t xml:space="preserve">Ангел Є. (2023). Харчова промисловість: апетит хороший, але є над чим працювати. Коаліція «Реанімаційний пакет реформ»: </w:t>
      </w:r>
      <w:proofErr w:type="spellStart"/>
      <w:r w:rsidRPr="004F7E47">
        <w:rPr>
          <w:rFonts w:ascii="Times New Roman" w:hAnsi="Times New Roman" w:cs="Times New Roman"/>
          <w:color w:val="000000" w:themeColor="text1"/>
          <w:spacing w:val="-2"/>
          <w:lang w:val="uk-UA"/>
        </w:rPr>
        <w:t>вебсайт</w:t>
      </w:r>
      <w:proofErr w:type="spellEnd"/>
      <w:r w:rsidRPr="004F7E47">
        <w:rPr>
          <w:rFonts w:ascii="Times New Roman" w:hAnsi="Times New Roman" w:cs="Times New Roman"/>
          <w:color w:val="000000" w:themeColor="text1"/>
          <w:spacing w:val="-2"/>
          <w:lang w:val="uk-UA"/>
        </w:rPr>
        <w:t>. https://rpr.org.ua/news/kharchova-promyslovist-apetyt-khoroshyy-ale-ie-nad-chym-pratsiuvaty.</w:t>
      </w:r>
    </w:p>
    <w:p w14:paraId="02BA89D4" w14:textId="77777777" w:rsidR="004F7E47" w:rsidRPr="004F7E47" w:rsidRDefault="004F7E47" w:rsidP="004F7E47">
      <w:pPr>
        <w:numPr>
          <w:ilvl w:val="0"/>
          <w:numId w:val="2"/>
        </w:numPr>
        <w:tabs>
          <w:tab w:val="left" w:pos="284"/>
        </w:tabs>
        <w:spacing w:after="0" w:line="235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pacing w:val="-2"/>
          <w:shd w:val="clear" w:color="auto" w:fill="FFFFFF"/>
          <w:lang w:val="uk-UA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lang w:val="uk-UA"/>
        </w:rPr>
        <w:t xml:space="preserve">Національний банк України: </w:t>
      </w:r>
      <w:proofErr w:type="spellStart"/>
      <w:r w:rsidRPr="004F7E47">
        <w:rPr>
          <w:rFonts w:ascii="Times New Roman" w:hAnsi="Times New Roman" w:cs="Times New Roman"/>
          <w:color w:val="000000" w:themeColor="text1"/>
          <w:spacing w:val="-2"/>
          <w:lang w:val="uk-UA"/>
        </w:rPr>
        <w:t>вебсайт</w:t>
      </w:r>
      <w:proofErr w:type="spellEnd"/>
      <w:r w:rsidRPr="004F7E47">
        <w:rPr>
          <w:rFonts w:ascii="Times New Roman" w:hAnsi="Times New Roman" w:cs="Times New Roman"/>
          <w:color w:val="000000" w:themeColor="text1"/>
          <w:spacing w:val="-2"/>
          <w:lang w:val="uk-UA"/>
        </w:rPr>
        <w:t xml:space="preserve"> (2023). Бізнес третій місяць поспіль позитивно оцінив результати своєї діяльності – підсумки опитування підприємств у червні. https://bank.gov.ua/ua/news/all/biznes-tretiy-misyats-pospil-pozitivno-otsiniv-rezultati-svoyeyi-diyalnosti-pidsumki-opituvannya-pidpriyemstv-u-chervni.</w:t>
      </w:r>
    </w:p>
    <w:p w14:paraId="494634A6" w14:textId="77777777" w:rsidR="004F7E47" w:rsidRPr="004F7E47" w:rsidRDefault="004F7E47" w:rsidP="004F7E47">
      <w:pPr>
        <w:numPr>
          <w:ilvl w:val="0"/>
          <w:numId w:val="2"/>
        </w:numPr>
        <w:tabs>
          <w:tab w:val="left" w:pos="284"/>
        </w:tabs>
        <w:spacing w:after="0" w:line="235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pacing w:val="-2"/>
          <w:shd w:val="clear" w:color="auto" w:fill="FFFFFF"/>
          <w:lang w:val="uk-UA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shd w:val="clear" w:color="auto" w:fill="FFFFFF"/>
          <w:lang w:val="uk-UA"/>
        </w:rPr>
        <w:t xml:space="preserve">Міністерство фінансів України: </w:t>
      </w:r>
      <w:proofErr w:type="spellStart"/>
      <w:r w:rsidRPr="004F7E47">
        <w:rPr>
          <w:rFonts w:ascii="Times New Roman" w:hAnsi="Times New Roman" w:cs="Times New Roman"/>
          <w:color w:val="000000" w:themeColor="text1"/>
          <w:spacing w:val="-2"/>
          <w:shd w:val="clear" w:color="auto" w:fill="FFFFFF"/>
          <w:lang w:val="uk-UA"/>
        </w:rPr>
        <w:t>вебсайт</w:t>
      </w:r>
      <w:proofErr w:type="spellEnd"/>
      <w:r w:rsidRPr="004F7E47">
        <w:rPr>
          <w:rFonts w:ascii="Times New Roman" w:hAnsi="Times New Roman" w:cs="Times New Roman"/>
          <w:color w:val="000000" w:themeColor="text1"/>
          <w:spacing w:val="-2"/>
          <w:shd w:val="clear" w:color="auto" w:fill="FFFFFF"/>
          <w:lang w:val="uk-UA"/>
        </w:rPr>
        <w:t xml:space="preserve"> (2023). За час дії воєнного стану в межах Державної програми «Доступні кредити 5-7-9 %» видано 36 730 пільгових кредитів на суму близько 142 млрд грн. https://www.kmu.gov.ua/news/minfin-za-chas-dii-voiennoho-stanu-v-mezhakh-derzhavnoi-prohramy-dostupni-kredyty-5-7-9-vydano-36-730-pilhovykh-kredytiv-na-sumu-blyzko-142-mlrd-hrn.</w:t>
      </w:r>
    </w:p>
    <w:p w14:paraId="255EABB6" w14:textId="77777777" w:rsidR="004F7E47" w:rsidRPr="004F7E47" w:rsidRDefault="004F7E47" w:rsidP="004F7E47">
      <w:pPr>
        <w:numPr>
          <w:ilvl w:val="0"/>
          <w:numId w:val="2"/>
        </w:numPr>
        <w:tabs>
          <w:tab w:val="left" w:pos="284"/>
        </w:tabs>
        <w:spacing w:after="0" w:line="235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pacing w:val="-2"/>
          <w:shd w:val="clear" w:color="auto" w:fill="FFFFFF"/>
          <w:lang w:val="uk-UA"/>
        </w:rPr>
      </w:pPr>
      <w:r w:rsidRPr="004F7E47">
        <w:rPr>
          <w:rFonts w:ascii="Times New Roman" w:hAnsi="Times New Roman" w:cs="Times New Roman"/>
          <w:color w:val="000000" w:themeColor="text1"/>
          <w:spacing w:val="-2"/>
          <w:shd w:val="clear" w:color="auto" w:fill="FFFFFF"/>
          <w:lang w:val="uk-UA"/>
        </w:rPr>
        <w:t xml:space="preserve">Урядовий портал: </w:t>
      </w:r>
      <w:proofErr w:type="spellStart"/>
      <w:r w:rsidRPr="004F7E47">
        <w:rPr>
          <w:rFonts w:ascii="Times New Roman" w:hAnsi="Times New Roman" w:cs="Times New Roman"/>
          <w:color w:val="000000" w:themeColor="text1"/>
          <w:spacing w:val="-2"/>
          <w:shd w:val="clear" w:color="auto" w:fill="FFFFFF"/>
          <w:lang w:val="uk-UA"/>
        </w:rPr>
        <w:t>вебсайт</w:t>
      </w:r>
      <w:proofErr w:type="spellEnd"/>
      <w:r w:rsidRPr="004F7E47">
        <w:rPr>
          <w:rFonts w:ascii="Times New Roman" w:hAnsi="Times New Roman" w:cs="Times New Roman"/>
          <w:color w:val="000000" w:themeColor="text1"/>
          <w:spacing w:val="-2"/>
          <w:shd w:val="clear" w:color="auto" w:fill="FFFFFF"/>
          <w:lang w:val="uk-UA"/>
        </w:rPr>
        <w:t xml:space="preserve"> (2023). Денис </w:t>
      </w:r>
      <w:proofErr w:type="spellStart"/>
      <w:r w:rsidRPr="004F7E47">
        <w:rPr>
          <w:rFonts w:ascii="Times New Roman" w:hAnsi="Times New Roman" w:cs="Times New Roman"/>
          <w:color w:val="000000" w:themeColor="text1"/>
          <w:spacing w:val="-2"/>
          <w:shd w:val="clear" w:color="auto" w:fill="FFFFFF"/>
          <w:lang w:val="uk-UA"/>
        </w:rPr>
        <w:t>Шмигаль</w:t>
      </w:r>
      <w:proofErr w:type="spellEnd"/>
      <w:r w:rsidRPr="004F7E47">
        <w:rPr>
          <w:rFonts w:ascii="Times New Roman" w:hAnsi="Times New Roman" w:cs="Times New Roman"/>
          <w:color w:val="000000" w:themeColor="text1"/>
          <w:spacing w:val="-2"/>
          <w:shd w:val="clear" w:color="auto" w:fill="FFFFFF"/>
          <w:lang w:val="uk-UA"/>
        </w:rPr>
        <w:t>: Відновлення економіки – один із п’яти пріоритетів відновлення на цей рік. https://www.kmu.gov.ua/news/denys-shmyhal-vidnovlennia-ekonomiky-odyn-iz-piaty-priorytetiv-vidnovlennia-na-tsei-rik.</w:t>
      </w:r>
    </w:p>
    <w:p w14:paraId="3BEE22B5" w14:textId="77777777" w:rsidR="004F7E47" w:rsidRPr="004F7E47" w:rsidRDefault="004F7E47" w:rsidP="004F7E47">
      <w:pPr>
        <w:spacing w:line="235" w:lineRule="auto"/>
        <w:rPr>
          <w:rFonts w:ascii="Times New Roman" w:eastAsia="Times New Roman" w:hAnsi="Times New Roman" w:cs="Times New Roman"/>
          <w:spacing w:val="-2"/>
          <w:kern w:val="0"/>
          <w:lang w:val="uk-UA"/>
          <w14:ligatures w14:val="none"/>
        </w:rPr>
      </w:pPr>
    </w:p>
    <w:p w14:paraId="10FA3174" w14:textId="77777777" w:rsidR="00ED7689" w:rsidRPr="004F7E47" w:rsidRDefault="00ED7689">
      <w:pPr>
        <w:rPr>
          <w:lang w:val="uk-UA"/>
        </w:rPr>
      </w:pPr>
    </w:p>
    <w:sectPr w:rsidR="00ED7689" w:rsidRPr="004F7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6C14"/>
    <w:multiLevelType w:val="hybridMultilevel"/>
    <w:tmpl w:val="2AD21AB6"/>
    <w:lvl w:ilvl="0" w:tplc="8FE49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F2017"/>
    <w:multiLevelType w:val="hybridMultilevel"/>
    <w:tmpl w:val="B06243D4"/>
    <w:lvl w:ilvl="0" w:tplc="6BAAE31E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403773">
    <w:abstractNumId w:val="1"/>
  </w:num>
  <w:num w:numId="2" w16cid:durableId="68028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47"/>
    <w:rsid w:val="004F7E47"/>
    <w:rsid w:val="00E905B0"/>
    <w:rsid w:val="00ED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51B8"/>
  <w15:chartTrackingRefBased/>
  <w15:docId w15:val="{6DF3FCB9-D3EF-4BA4-B334-CDBA0318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Tsesliv</dc:creator>
  <cp:keywords/>
  <dc:description/>
  <cp:lastModifiedBy>Olga Tsesliv</cp:lastModifiedBy>
  <cp:revision>2</cp:revision>
  <dcterms:created xsi:type="dcterms:W3CDTF">2024-02-10T10:09:00Z</dcterms:created>
  <dcterms:modified xsi:type="dcterms:W3CDTF">2024-02-10T10:09:00Z</dcterms:modified>
</cp:coreProperties>
</file>